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5C6" w:rsidRPr="00AF0DD7" w:rsidRDefault="003024A8">
      <w:pPr>
        <w:spacing w:line="600" w:lineRule="exact"/>
        <w:jc w:val="center"/>
        <w:rPr>
          <w:rFonts w:ascii="方正小标宋简体" w:eastAsia="方正小标宋简体" w:hAnsi="方正小标宋简体" w:cs="方正小标宋简体"/>
          <w:color w:val="000000" w:themeColor="text1"/>
          <w:sz w:val="44"/>
          <w:szCs w:val="44"/>
        </w:rPr>
      </w:pPr>
      <w:r w:rsidRPr="00AF0DD7">
        <w:rPr>
          <w:rFonts w:ascii="方正小标宋简体" w:eastAsia="方正小标宋简体" w:hAnsi="方正小标宋简体" w:cs="方正小标宋简体" w:hint="eastAsia"/>
          <w:color w:val="000000" w:themeColor="text1"/>
          <w:sz w:val="44"/>
          <w:szCs w:val="44"/>
        </w:rPr>
        <w:t>《茂名市新建预拌混凝土搅拌站管理</w:t>
      </w:r>
    </w:p>
    <w:p w:rsidR="004F55C6" w:rsidRPr="00AF0DD7" w:rsidRDefault="003024A8">
      <w:pPr>
        <w:spacing w:line="600" w:lineRule="exact"/>
        <w:jc w:val="center"/>
        <w:rPr>
          <w:rFonts w:ascii="方正小标宋简体" w:eastAsia="方正小标宋简体" w:hAnsi="方正小标宋简体" w:cs="方正小标宋简体"/>
          <w:color w:val="000000" w:themeColor="text1"/>
          <w:sz w:val="44"/>
          <w:szCs w:val="44"/>
        </w:rPr>
      </w:pPr>
      <w:r w:rsidRPr="00AF0DD7">
        <w:rPr>
          <w:rFonts w:ascii="方正小标宋简体" w:eastAsia="方正小标宋简体" w:hAnsi="方正小标宋简体" w:cs="方正小标宋简体" w:hint="eastAsia"/>
          <w:color w:val="000000" w:themeColor="text1"/>
          <w:sz w:val="44"/>
          <w:szCs w:val="44"/>
        </w:rPr>
        <w:t>暂行办法》部门解读</w:t>
      </w:r>
    </w:p>
    <w:p w:rsidR="004F55C6" w:rsidRPr="00AF0DD7" w:rsidRDefault="004F55C6" w:rsidP="00AF0DD7">
      <w:pPr>
        <w:spacing w:line="300" w:lineRule="exact"/>
        <w:rPr>
          <w:rFonts w:ascii="方正小标宋简体" w:eastAsia="方正小标宋简体" w:hAnsi="方正小标宋简体" w:cs="方正小标宋简体"/>
          <w:color w:val="000000" w:themeColor="text1"/>
          <w:sz w:val="44"/>
          <w:szCs w:val="44"/>
        </w:rPr>
      </w:pPr>
    </w:p>
    <w:p w:rsidR="004F55C6" w:rsidRPr="00AF0DD7" w:rsidRDefault="003024A8">
      <w:pPr>
        <w:spacing w:line="600" w:lineRule="exact"/>
        <w:ind w:firstLineChars="200" w:firstLine="640"/>
        <w:rPr>
          <w:rFonts w:ascii="仿宋_GB2312" w:eastAsia="仿宋_GB2312" w:hAnsi="仿宋_GB2312" w:cs="仿宋_GB2312"/>
          <w:color w:val="000000" w:themeColor="text1"/>
          <w:sz w:val="32"/>
          <w:szCs w:val="32"/>
        </w:rPr>
      </w:pPr>
      <w:r w:rsidRPr="00AF0DD7">
        <w:rPr>
          <w:rFonts w:ascii="仿宋_GB2312" w:eastAsia="仿宋_GB2312" w:hAnsi="仿宋_GB2312" w:cs="仿宋_GB2312" w:hint="eastAsia"/>
          <w:color w:val="000000" w:themeColor="text1"/>
          <w:sz w:val="32"/>
          <w:szCs w:val="32"/>
        </w:rPr>
        <w:t>现将《茂名市新建预拌混凝土搅拌站管理暂行办法》政策解读如下：</w:t>
      </w:r>
    </w:p>
    <w:p w:rsidR="004F55C6" w:rsidRPr="00AF0DD7" w:rsidRDefault="003024A8">
      <w:pPr>
        <w:adjustRightInd w:val="0"/>
        <w:snapToGrid w:val="0"/>
        <w:spacing w:line="600" w:lineRule="exact"/>
        <w:ind w:firstLineChars="200" w:firstLine="640"/>
        <w:rPr>
          <w:rFonts w:ascii="黑体" w:eastAsia="黑体" w:hAnsi="黑体" w:cs="黑体"/>
          <w:color w:val="000000" w:themeColor="text1"/>
          <w:sz w:val="32"/>
          <w:szCs w:val="32"/>
        </w:rPr>
      </w:pPr>
      <w:r w:rsidRPr="00AF0DD7">
        <w:rPr>
          <w:rFonts w:ascii="黑体" w:eastAsia="黑体" w:hAnsi="黑体" w:cs="黑体" w:hint="eastAsia"/>
          <w:color w:val="000000" w:themeColor="text1"/>
          <w:sz w:val="32"/>
          <w:szCs w:val="32"/>
        </w:rPr>
        <w:t>一、编制背景和政策目标</w:t>
      </w:r>
    </w:p>
    <w:p w:rsidR="004F55C6" w:rsidRPr="00AF0DD7" w:rsidRDefault="003024A8">
      <w:pPr>
        <w:spacing w:line="600" w:lineRule="exact"/>
        <w:ind w:firstLineChars="200" w:firstLine="640"/>
        <w:rPr>
          <w:rFonts w:ascii="仿宋_GB2312" w:eastAsia="仿宋_GB2312" w:hAnsi="仿宋_GB2312" w:cs="仿宋_GB2312"/>
          <w:color w:val="000000" w:themeColor="text1"/>
          <w:sz w:val="32"/>
          <w:szCs w:val="32"/>
        </w:rPr>
      </w:pPr>
      <w:r w:rsidRPr="00AF0DD7">
        <w:rPr>
          <w:rFonts w:ascii="仿宋_GB2312" w:eastAsia="仿宋_GB2312" w:hAnsi="仿宋_GB2312" w:cs="仿宋_GB2312" w:hint="eastAsia"/>
          <w:color w:val="000000" w:themeColor="text1"/>
          <w:sz w:val="32"/>
          <w:szCs w:val="32"/>
        </w:rPr>
        <w:t>为加快我市散装水泥应用向着规模化、标准化发展，推动散装水泥生产设点的布局更加规范、合理，根据“统一规划、合理布局、保护环境、方便需求、有序竞争”原则，我市有关部门完成了《茂名市散装水泥发展应用规划(2021-2025)》编制工作。</w:t>
      </w:r>
    </w:p>
    <w:p w:rsidR="004F55C6" w:rsidRPr="00AF0DD7" w:rsidRDefault="003024A8">
      <w:pPr>
        <w:spacing w:line="600" w:lineRule="exact"/>
        <w:ind w:firstLineChars="200" w:firstLine="640"/>
        <w:rPr>
          <w:rFonts w:ascii="仿宋_GB2312" w:eastAsia="仿宋_GB2312" w:hAnsi="仿宋_GB2312" w:cs="仿宋_GB2312"/>
          <w:color w:val="000000" w:themeColor="text1"/>
          <w:kern w:val="0"/>
          <w:sz w:val="32"/>
          <w:szCs w:val="32"/>
        </w:rPr>
      </w:pPr>
      <w:r w:rsidRPr="00AF0DD7">
        <w:rPr>
          <w:rFonts w:ascii="仿宋_GB2312" w:eastAsia="仿宋_GB2312" w:hAnsi="仿宋_GB2312" w:cs="仿宋_GB2312" w:hint="eastAsia"/>
          <w:color w:val="000000" w:themeColor="text1"/>
          <w:kern w:val="0"/>
          <w:sz w:val="32"/>
          <w:szCs w:val="32"/>
        </w:rPr>
        <w:t>“十三五”《规划》期间建成预拌混凝土搅拌站50家，“十四五”《规划》新增预拌混凝土站点11家，其中茂南1家、信宜1家、化州6家和电白区3家。截至2023年底，我市正常运营的预拌混凝土搅拌站有42家。部分预拌混凝土站存在批而未建的现象，主要存在建设用地难以落实的问题。过去新建混凝土搅拌站由企业自行解决用地问题，企业多数靠租借属地村民或镇政府的闲置用地，常遇到环境评估难以通过、水资源保护区域限制、周边群众纠纷等问题，影响搅拌站的投产经营。</w:t>
      </w:r>
    </w:p>
    <w:p w:rsidR="004F55C6" w:rsidRPr="00AF0DD7" w:rsidRDefault="003024A8">
      <w:pPr>
        <w:spacing w:line="600" w:lineRule="exact"/>
        <w:ind w:firstLineChars="200" w:firstLine="640"/>
        <w:rPr>
          <w:rFonts w:ascii="仿宋_GB2312" w:eastAsia="仿宋_GB2312" w:hAnsi="仿宋_GB2312" w:cs="仿宋_GB2312"/>
          <w:color w:val="000000" w:themeColor="text1"/>
          <w:sz w:val="32"/>
          <w:szCs w:val="32"/>
        </w:rPr>
      </w:pPr>
      <w:r w:rsidRPr="00AF0DD7">
        <w:rPr>
          <w:rFonts w:ascii="仿宋_GB2312" w:eastAsia="仿宋_GB2312" w:hAnsi="仿宋_GB2312" w:cs="仿宋_GB2312" w:hint="eastAsia"/>
          <w:color w:val="000000" w:themeColor="text1"/>
          <w:kern w:val="0"/>
          <w:sz w:val="32"/>
          <w:szCs w:val="32"/>
        </w:rPr>
        <w:t>现拟定</w:t>
      </w:r>
      <w:r w:rsidRPr="00AF0DD7">
        <w:rPr>
          <w:rFonts w:ascii="仿宋_GB2312" w:eastAsia="仿宋_GB2312" w:hAnsi="仿宋_GB2312" w:cs="仿宋_GB2312" w:hint="eastAsia"/>
          <w:color w:val="000000" w:themeColor="text1"/>
          <w:sz w:val="32"/>
          <w:szCs w:val="32"/>
        </w:rPr>
        <w:t>《茂名市新建预拌混凝土搅拌站管理暂行办法》，旨在严格遵循公平公正原则的基础上，以全市统筹、属地政府将建设用地以招拍挂的方式落实权属，解决企业用地问题，</w:t>
      </w:r>
      <w:r w:rsidRPr="00AF0DD7">
        <w:rPr>
          <w:rFonts w:ascii="仿宋_GB2312" w:eastAsia="仿宋_GB2312" w:hAnsi="仿宋_GB2312" w:cs="仿宋_GB2312" w:hint="eastAsia"/>
          <w:color w:val="000000" w:themeColor="text1"/>
          <w:sz w:val="32"/>
          <w:szCs w:val="32"/>
        </w:rPr>
        <w:lastRenderedPageBreak/>
        <w:t>加快推进预拌混凝土生产企业建成投产，避免指标浪费。</w:t>
      </w:r>
    </w:p>
    <w:p w:rsidR="004F55C6" w:rsidRPr="00AF0DD7" w:rsidRDefault="003024A8">
      <w:pPr>
        <w:numPr>
          <w:ilvl w:val="0"/>
          <w:numId w:val="1"/>
        </w:numPr>
        <w:spacing w:line="600" w:lineRule="exact"/>
        <w:ind w:firstLineChars="200" w:firstLine="640"/>
        <w:rPr>
          <w:rFonts w:ascii="黑体" w:eastAsia="黑体" w:hAnsi="黑体" w:cs="黑体"/>
          <w:color w:val="000000" w:themeColor="text1"/>
          <w:sz w:val="32"/>
          <w:szCs w:val="32"/>
        </w:rPr>
      </w:pPr>
      <w:r w:rsidRPr="00AF0DD7">
        <w:rPr>
          <w:rFonts w:ascii="黑体" w:eastAsia="黑体" w:hAnsi="黑体" w:cs="黑体" w:hint="eastAsia"/>
          <w:color w:val="000000" w:themeColor="text1"/>
          <w:sz w:val="32"/>
          <w:szCs w:val="32"/>
        </w:rPr>
        <w:t>文件政策依据</w:t>
      </w:r>
    </w:p>
    <w:p w:rsidR="004F55C6" w:rsidRPr="00AF0DD7" w:rsidRDefault="003024A8">
      <w:pPr>
        <w:spacing w:line="600" w:lineRule="exact"/>
        <w:ind w:firstLineChars="200" w:firstLine="640"/>
        <w:rPr>
          <w:rFonts w:ascii="仿宋_GB2312" w:eastAsia="仿宋_GB2312" w:hAnsi="仿宋_GB2312" w:cs="仿宋_GB2312"/>
          <w:color w:val="000000" w:themeColor="text1"/>
          <w:sz w:val="32"/>
          <w:szCs w:val="32"/>
        </w:rPr>
      </w:pPr>
      <w:r w:rsidRPr="00AF0DD7">
        <w:rPr>
          <w:rFonts w:ascii="仿宋_GB2312" w:eastAsia="仿宋_GB2312" w:hAnsi="仿宋_GB2312" w:cs="仿宋_GB2312" w:hint="eastAsia"/>
          <w:color w:val="000000" w:themeColor="text1"/>
          <w:sz w:val="32"/>
          <w:szCs w:val="32"/>
        </w:rPr>
        <w:t>《茂名市新建预拌混凝土搅拌站管理暂行办法》主要是根据《闲置土地处置办法》《广东省促进散装水泥发展和应用规定》《关于贯彻执行〈广东省促进散装水泥发展和应用规定〉的通知》等规章及规范性文件精神。</w:t>
      </w:r>
    </w:p>
    <w:p w:rsidR="004F55C6" w:rsidRPr="00AF0DD7" w:rsidRDefault="003024A8">
      <w:pPr>
        <w:numPr>
          <w:ilvl w:val="0"/>
          <w:numId w:val="1"/>
        </w:numPr>
        <w:spacing w:line="600" w:lineRule="exact"/>
        <w:ind w:firstLineChars="200" w:firstLine="640"/>
        <w:rPr>
          <w:rFonts w:ascii="黑体" w:eastAsia="黑体" w:hAnsi="黑体" w:cs="黑体"/>
          <w:color w:val="000000" w:themeColor="text1"/>
          <w:kern w:val="0"/>
          <w:sz w:val="32"/>
          <w:szCs w:val="32"/>
        </w:rPr>
      </w:pPr>
      <w:r w:rsidRPr="00AF0DD7">
        <w:rPr>
          <w:rFonts w:ascii="黑体" w:eastAsia="黑体" w:hAnsi="黑体" w:cs="黑体" w:hint="eastAsia"/>
          <w:color w:val="000000" w:themeColor="text1"/>
          <w:kern w:val="0"/>
          <w:sz w:val="32"/>
          <w:szCs w:val="32"/>
        </w:rPr>
        <w:t>主要内容</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仿宋_GB2312" w:eastAsia="仿宋_GB2312" w:hAnsi="宋体" w:cs="宋体" w:hint="eastAsia"/>
          <w:color w:val="000000" w:themeColor="text1"/>
          <w:kern w:val="0"/>
          <w:sz w:val="32"/>
          <w:szCs w:val="32"/>
        </w:rPr>
        <w:t>《办法》主要内容为适用范围、用地保障及出让程序、专业承包资质审批流程、其他特殊情形4个方面。</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楷体_GB2312" w:eastAsia="楷体_GB2312" w:hAnsi="楷体_GB2312" w:cs="楷体_GB2312" w:hint="eastAsia"/>
          <w:color w:val="000000" w:themeColor="text1"/>
          <w:kern w:val="0"/>
          <w:sz w:val="32"/>
          <w:szCs w:val="32"/>
        </w:rPr>
        <w:t>（一）适用范围。</w:t>
      </w:r>
      <w:r w:rsidRPr="00AF0DD7">
        <w:rPr>
          <w:rFonts w:ascii="仿宋_GB2312" w:eastAsia="仿宋_GB2312" w:hAnsi="宋体" w:cs="宋体" w:hint="eastAsia"/>
          <w:color w:val="000000" w:themeColor="text1"/>
          <w:kern w:val="0"/>
          <w:sz w:val="32"/>
          <w:szCs w:val="32"/>
        </w:rPr>
        <w:t>茂名市行政区域范围内新建预拌混凝土搅拌站（不含交通、水利、能源等行业基础设施建设项目新建预拌混凝土临时搅拌站及因自然灾害、政策调整、基础设施建设等公共利益需要而迁建、新建的搅拌站）。</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楷体_GB2312" w:eastAsia="楷体_GB2312" w:hAnsi="楷体_GB2312" w:cs="楷体_GB2312" w:hint="eastAsia"/>
          <w:color w:val="000000" w:themeColor="text1"/>
          <w:kern w:val="0"/>
          <w:sz w:val="32"/>
          <w:szCs w:val="32"/>
        </w:rPr>
        <w:t>（二）用地保障及出让程序。</w:t>
      </w:r>
      <w:r w:rsidRPr="00AF0DD7">
        <w:rPr>
          <w:rFonts w:ascii="仿宋_GB2312" w:eastAsia="仿宋_GB2312" w:hAnsi="宋体" w:cs="宋体" w:hint="eastAsia"/>
          <w:color w:val="000000" w:themeColor="text1"/>
          <w:kern w:val="0"/>
          <w:sz w:val="32"/>
          <w:szCs w:val="32"/>
        </w:rPr>
        <w:t>新建预拌混凝土搅拌站建设用地，分别纳入属地储备土地库管理，按照谁储备、谁收益、谁保障的原则，分级保障搅拌站项目用地指标需求，由自然资源部门组织公开出让土地使用权。</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楷体_GB2312" w:eastAsia="楷体_GB2312" w:hAnsi="楷体_GB2312" w:cs="楷体_GB2312" w:hint="eastAsia"/>
          <w:color w:val="000000" w:themeColor="text1"/>
          <w:kern w:val="0"/>
          <w:sz w:val="32"/>
          <w:szCs w:val="32"/>
        </w:rPr>
        <w:t>（三）资质审批流程。</w:t>
      </w:r>
      <w:r w:rsidRPr="00AF0DD7">
        <w:rPr>
          <w:rFonts w:ascii="仿宋_GB2312" w:eastAsia="仿宋_GB2312" w:hAnsi="宋体" w:cs="宋体" w:hint="eastAsia"/>
          <w:color w:val="000000" w:themeColor="text1"/>
          <w:kern w:val="0"/>
          <w:sz w:val="32"/>
          <w:szCs w:val="32"/>
        </w:rPr>
        <w:t>预拌混凝土生产企业通过“三库一平台管理信息服务系统”与“广东政务服务网”提交申请，由茂名市住房和城乡建设局依法受理，经过资料初审、专家审核、现场验收、公示等环节，确认符合《建筑业企业资质标准》并取得资质证书后</w:t>
      </w:r>
      <w:r w:rsidRPr="00AF0DD7">
        <w:rPr>
          <w:rFonts w:ascii="仿宋_GB2312" w:eastAsia="仿宋_GB2312" w:hAnsi="仿宋_GB2312" w:cs="仿宋_GB2312" w:hint="eastAsia"/>
          <w:color w:val="000000" w:themeColor="text1"/>
          <w:sz w:val="32"/>
          <w:szCs w:val="32"/>
        </w:rPr>
        <w:t>方可从事生产和销售活动。</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楷体_GB2312" w:eastAsia="楷体_GB2312" w:hAnsi="楷体_GB2312" w:cs="楷体_GB2312" w:hint="eastAsia"/>
          <w:color w:val="000000" w:themeColor="text1"/>
          <w:kern w:val="0"/>
          <w:sz w:val="32"/>
          <w:szCs w:val="32"/>
        </w:rPr>
        <w:lastRenderedPageBreak/>
        <w:t>（四）其他特殊情形。</w:t>
      </w:r>
      <w:r w:rsidRPr="00AF0DD7">
        <w:rPr>
          <w:rFonts w:ascii="仿宋_GB2312" w:eastAsia="仿宋_GB2312" w:hAnsi="宋体" w:cs="宋体" w:hint="eastAsia"/>
          <w:color w:val="000000" w:themeColor="text1"/>
          <w:kern w:val="0"/>
          <w:sz w:val="32"/>
          <w:szCs w:val="32"/>
        </w:rPr>
        <w:t>已按“十四五”规划落实混凝土搅拌站权属指标的、已取得《建筑工程施工许可证》在建未竣工的，或已取得《建设工程规划许可证》的、已按规定程序完成属地审批和市级</w:t>
      </w:r>
      <w:r w:rsidRPr="00AF0DD7">
        <w:rPr>
          <w:rFonts w:ascii="仿宋_GB2312" w:eastAsia="仿宋_GB2312" w:hAnsi="仿宋_GB2312" w:cs="仿宋_GB2312" w:hint="eastAsia"/>
          <w:color w:val="000000" w:themeColor="text1"/>
          <w:sz w:val="32"/>
          <w:szCs w:val="32"/>
        </w:rPr>
        <w:t>报备</w:t>
      </w:r>
      <w:r w:rsidRPr="00AF0DD7">
        <w:rPr>
          <w:rFonts w:ascii="仿宋_GB2312" w:eastAsia="仿宋_GB2312" w:hAnsi="宋体" w:cs="宋体" w:hint="eastAsia"/>
          <w:color w:val="000000" w:themeColor="text1"/>
          <w:kern w:val="0"/>
          <w:sz w:val="32"/>
          <w:szCs w:val="32"/>
        </w:rPr>
        <w:t>的、已在广东政务服务网办理建筑业企业资质核准的，不在此《办法》实施范围。</w:t>
      </w:r>
    </w:p>
    <w:p w:rsidR="004F55C6" w:rsidRPr="00AF0DD7" w:rsidRDefault="003024A8">
      <w:pPr>
        <w:spacing w:line="600" w:lineRule="exact"/>
        <w:ind w:firstLineChars="200" w:firstLine="640"/>
        <w:rPr>
          <w:rFonts w:ascii="黑体" w:eastAsia="黑体" w:hAnsi="黑体" w:cs="黑体"/>
          <w:color w:val="000000" w:themeColor="text1"/>
          <w:kern w:val="0"/>
          <w:sz w:val="32"/>
          <w:szCs w:val="32"/>
        </w:rPr>
      </w:pPr>
      <w:r w:rsidRPr="00AF0DD7">
        <w:rPr>
          <w:rFonts w:ascii="黑体" w:eastAsia="黑体" w:hAnsi="黑体" w:cs="黑体" w:hint="eastAsia"/>
          <w:color w:val="000000" w:themeColor="text1"/>
          <w:kern w:val="0"/>
          <w:sz w:val="32"/>
          <w:szCs w:val="32"/>
        </w:rPr>
        <w:t>四、利企惠民具体措施</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仿宋_GB2312" w:eastAsia="仿宋_GB2312" w:hAnsi="宋体" w:cs="宋体" w:hint="eastAsia"/>
          <w:color w:val="000000" w:themeColor="text1"/>
          <w:kern w:val="0"/>
          <w:sz w:val="32"/>
          <w:szCs w:val="32"/>
        </w:rPr>
        <w:t>对企业，《办法》明确新建预拌混凝土搅拌站应先依法取得不动产权证书，建设用地纳入属地储备土地库，分级保障用地指标，解决以往企业获得建设指标却未能落实建设用地、</w:t>
      </w:r>
      <w:r w:rsidRPr="00AF0DD7">
        <w:rPr>
          <w:rFonts w:ascii="仿宋_GB2312" w:eastAsia="仿宋_GB2312" w:hAnsi="仿宋_GB2312" w:cs="仿宋_GB2312" w:hint="eastAsia"/>
          <w:color w:val="000000" w:themeColor="text1"/>
          <w:kern w:val="0"/>
          <w:sz w:val="32"/>
          <w:szCs w:val="32"/>
        </w:rPr>
        <w:t>环境评估难以通过、周边群众纠纷</w:t>
      </w:r>
      <w:r w:rsidRPr="00AF0DD7">
        <w:rPr>
          <w:rFonts w:ascii="仿宋_GB2312" w:eastAsia="仿宋_GB2312" w:hAnsi="宋体" w:cs="宋体" w:hint="eastAsia"/>
          <w:color w:val="000000" w:themeColor="text1"/>
          <w:kern w:val="0"/>
          <w:sz w:val="32"/>
          <w:szCs w:val="32"/>
        </w:rPr>
        <w:t>等问题，降低成本与风险；招拍挂</w:t>
      </w:r>
      <w:bookmarkStart w:id="0" w:name="_GoBack"/>
      <w:bookmarkEnd w:id="0"/>
      <w:r w:rsidRPr="00AF0DD7">
        <w:rPr>
          <w:rFonts w:ascii="仿宋_GB2312" w:eastAsia="仿宋_GB2312" w:hAnsi="宋体" w:cs="宋体" w:hint="eastAsia"/>
          <w:color w:val="000000" w:themeColor="text1"/>
          <w:kern w:val="0"/>
          <w:sz w:val="32"/>
          <w:szCs w:val="32"/>
        </w:rPr>
        <w:t>出让保障拿地公平，加快项目投产。对民生，规范建站符合环保要求，减少污染与群众纠纷，改善生态环境；合理布局提升混凝土供应效率，保障建设工程进度，推动民生工程提速。</w:t>
      </w:r>
    </w:p>
    <w:p w:rsidR="004F55C6" w:rsidRPr="00AF0DD7" w:rsidRDefault="003024A8">
      <w:pPr>
        <w:spacing w:line="600" w:lineRule="exact"/>
        <w:ind w:firstLineChars="200" w:firstLine="640"/>
        <w:rPr>
          <w:rFonts w:ascii="黑体" w:eastAsia="黑体" w:hAnsi="黑体" w:cs="黑体"/>
          <w:color w:val="000000" w:themeColor="text1"/>
          <w:kern w:val="0"/>
          <w:sz w:val="32"/>
          <w:szCs w:val="32"/>
        </w:rPr>
      </w:pPr>
      <w:r w:rsidRPr="00AF0DD7">
        <w:rPr>
          <w:rFonts w:ascii="黑体" w:eastAsia="黑体" w:hAnsi="黑体" w:cs="黑体" w:hint="eastAsia"/>
          <w:color w:val="000000" w:themeColor="text1"/>
          <w:kern w:val="0"/>
          <w:sz w:val="32"/>
          <w:szCs w:val="32"/>
        </w:rPr>
        <w:t>五、前后政策差异对比分析</w:t>
      </w:r>
    </w:p>
    <w:p w:rsidR="004F55C6" w:rsidRPr="00AF0DD7" w:rsidRDefault="003024A8">
      <w:pPr>
        <w:spacing w:line="600" w:lineRule="exact"/>
        <w:ind w:firstLineChars="200" w:firstLine="640"/>
        <w:rPr>
          <w:rFonts w:ascii="仿宋_GB2312" w:eastAsia="仿宋_GB2312" w:hAnsi="宋体" w:cs="宋体"/>
          <w:color w:val="000000" w:themeColor="text1"/>
          <w:kern w:val="0"/>
          <w:sz w:val="32"/>
          <w:szCs w:val="32"/>
        </w:rPr>
      </w:pPr>
      <w:r w:rsidRPr="00AF0DD7">
        <w:rPr>
          <w:rFonts w:ascii="仿宋_GB2312" w:eastAsia="仿宋_GB2312" w:hAnsi="宋体" w:cs="宋体" w:hint="eastAsia"/>
          <w:color w:val="000000" w:themeColor="text1"/>
          <w:kern w:val="0"/>
          <w:sz w:val="32"/>
          <w:szCs w:val="32"/>
        </w:rPr>
        <w:t>在《办法》出台前，茂名市还未形成关于新建预拌混凝土搅拌站相关程序的指引性文件及规范性标准要求，此《办法》更好地明确了适用范围、用地管理及资质审批等要求，为新建预拌混凝土搅拌站提供了明确的程序指引及监管要求，对推动我市深入贯彻落实《茂名市散装水泥发展应用专项规划》（2021-2025），促进混凝土市场监督管理规范化，助推散装水泥行业绿色发展具有重要意义。</w:t>
      </w:r>
    </w:p>
    <w:sectPr w:rsidR="004F55C6" w:rsidRPr="00AF0DD7" w:rsidSect="00AF0DD7">
      <w:footerReference w:type="default" r:id="rId8"/>
      <w:pgSz w:w="11906" w:h="16838"/>
      <w:pgMar w:top="1560" w:right="1800" w:bottom="156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DB0" w:rsidRDefault="00815DB0" w:rsidP="004F55C6">
      <w:r>
        <w:separator/>
      </w:r>
    </w:p>
  </w:endnote>
  <w:endnote w:type="continuationSeparator" w:id="1">
    <w:p w:rsidR="00815DB0" w:rsidRDefault="00815DB0" w:rsidP="004F55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5C6" w:rsidRDefault="00900C60">
    <w:pPr>
      <w:pStyle w:val="a4"/>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filled="f" stroked="f" strokeweight=".5pt">
          <v:textbox style="mso-fit-shape-to-text:t" inset="0,0,0,0">
            <w:txbxContent>
              <w:p w:rsidR="004F55C6" w:rsidRDefault="00900C60">
                <w:pPr>
                  <w:pStyle w:val="a4"/>
                </w:pPr>
                <w:r>
                  <w:rPr>
                    <w:rFonts w:asciiTheme="majorEastAsia" w:eastAsiaTheme="majorEastAsia" w:hAnsiTheme="majorEastAsia" w:cstheme="majorEastAsia" w:hint="eastAsia"/>
                    <w:sz w:val="28"/>
                    <w:szCs w:val="28"/>
                  </w:rPr>
                  <w:fldChar w:fldCharType="begin"/>
                </w:r>
                <w:r w:rsidR="003024A8">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B2484C">
                  <w:rPr>
                    <w:rFonts w:asciiTheme="majorEastAsia" w:eastAsiaTheme="majorEastAsia" w:hAnsiTheme="majorEastAsia" w:cstheme="majorEastAsia"/>
                    <w:noProof/>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DB0" w:rsidRDefault="00815DB0" w:rsidP="004F55C6">
      <w:r>
        <w:separator/>
      </w:r>
    </w:p>
  </w:footnote>
  <w:footnote w:type="continuationSeparator" w:id="1">
    <w:p w:rsidR="00815DB0" w:rsidRDefault="00815DB0" w:rsidP="004F55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0E1E"/>
    <w:multiLevelType w:val="singleLevel"/>
    <w:tmpl w:val="04600E1E"/>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819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2VkZDJhMTc0YmE0Y2MwMDVjODI4MTRlY2EwZGQxMjUifQ=="/>
  </w:docVars>
  <w:rsids>
    <w:rsidRoot w:val="05101B6A"/>
    <w:rsid w:val="000A2223"/>
    <w:rsid w:val="0011377B"/>
    <w:rsid w:val="00234799"/>
    <w:rsid w:val="00293999"/>
    <w:rsid w:val="003024A8"/>
    <w:rsid w:val="00461FC6"/>
    <w:rsid w:val="004C127E"/>
    <w:rsid w:val="004E656F"/>
    <w:rsid w:val="004F55C6"/>
    <w:rsid w:val="005834F1"/>
    <w:rsid w:val="005B1A91"/>
    <w:rsid w:val="005B1E6A"/>
    <w:rsid w:val="00745985"/>
    <w:rsid w:val="00783E80"/>
    <w:rsid w:val="00815DB0"/>
    <w:rsid w:val="00900C60"/>
    <w:rsid w:val="00924FF1"/>
    <w:rsid w:val="00AC2E37"/>
    <w:rsid w:val="00AF0DD7"/>
    <w:rsid w:val="00AF7272"/>
    <w:rsid w:val="00B2484C"/>
    <w:rsid w:val="00BC54BA"/>
    <w:rsid w:val="00C02D3A"/>
    <w:rsid w:val="00C4600B"/>
    <w:rsid w:val="00D83400"/>
    <w:rsid w:val="00DE1824"/>
    <w:rsid w:val="00E225E4"/>
    <w:rsid w:val="00E574D3"/>
    <w:rsid w:val="00EF4098"/>
    <w:rsid w:val="00F12EB6"/>
    <w:rsid w:val="00FD04BA"/>
    <w:rsid w:val="05101B6A"/>
    <w:rsid w:val="0750320D"/>
    <w:rsid w:val="0D397896"/>
    <w:rsid w:val="0DEB76F2"/>
    <w:rsid w:val="1CA4379F"/>
    <w:rsid w:val="215A22FD"/>
    <w:rsid w:val="225E628C"/>
    <w:rsid w:val="262B2929"/>
    <w:rsid w:val="2BBB5B32"/>
    <w:rsid w:val="2BEE6239"/>
    <w:rsid w:val="30564A47"/>
    <w:rsid w:val="31FB36E1"/>
    <w:rsid w:val="36F60914"/>
    <w:rsid w:val="37791594"/>
    <w:rsid w:val="3C9C4E70"/>
    <w:rsid w:val="3CE8610F"/>
    <w:rsid w:val="3DE71FBC"/>
    <w:rsid w:val="43392D33"/>
    <w:rsid w:val="43D764F6"/>
    <w:rsid w:val="44F03884"/>
    <w:rsid w:val="46F72688"/>
    <w:rsid w:val="49BF7DE6"/>
    <w:rsid w:val="49D1752A"/>
    <w:rsid w:val="4E016D4F"/>
    <w:rsid w:val="53AB0A82"/>
    <w:rsid w:val="585C27DC"/>
    <w:rsid w:val="604B2B0C"/>
    <w:rsid w:val="6B38456F"/>
    <w:rsid w:val="6B8D34FD"/>
    <w:rsid w:val="6E7A6548"/>
    <w:rsid w:val="72C745A8"/>
    <w:rsid w:val="78762B5D"/>
    <w:rsid w:val="7C114C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55C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4F55C6"/>
    <w:rPr>
      <w:sz w:val="18"/>
      <w:szCs w:val="18"/>
    </w:rPr>
  </w:style>
  <w:style w:type="paragraph" w:styleId="a4">
    <w:name w:val="footer"/>
    <w:basedOn w:val="a"/>
    <w:qFormat/>
    <w:rsid w:val="004F55C6"/>
    <w:pPr>
      <w:tabs>
        <w:tab w:val="center" w:pos="4153"/>
        <w:tab w:val="right" w:pos="8306"/>
      </w:tabs>
      <w:snapToGrid w:val="0"/>
      <w:jc w:val="left"/>
    </w:pPr>
    <w:rPr>
      <w:sz w:val="18"/>
    </w:rPr>
  </w:style>
  <w:style w:type="paragraph" w:styleId="a5">
    <w:name w:val="header"/>
    <w:basedOn w:val="a"/>
    <w:qFormat/>
    <w:rsid w:val="004F55C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0"/>
    <w:link w:val="a3"/>
    <w:qFormat/>
    <w:rsid w:val="004F55C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224</Words>
  <Characters>1280</Characters>
  <Application>Microsoft Office Word</Application>
  <DocSecurity>0</DocSecurity>
  <Lines>10</Lines>
  <Paragraphs>3</Paragraphs>
  <ScaleCrop>false</ScaleCrop>
  <Company>SysCeo.com</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庄聪颖</dc:creator>
  <cp:lastModifiedBy>卢聪</cp:lastModifiedBy>
  <cp:revision>10</cp:revision>
  <cp:lastPrinted>2024-01-04T03:01:00Z</cp:lastPrinted>
  <dcterms:created xsi:type="dcterms:W3CDTF">2024-01-02T03:35:00Z</dcterms:created>
  <dcterms:modified xsi:type="dcterms:W3CDTF">2026-06-24T07:48:00Z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C64C85374C4341E99379AEAA9712B610_13</vt:lpwstr>
  </property>
  <property fmtid="{D5CDD505-2E9C-101B-9397-08002B2CF9AE}" pid="4" name="KSOTemplateDocerSaveRecord">
    <vt:lpwstr>eyJoZGlkIjoiNTE4ZjQ4Y2M3MGQxODIxZmFlZTU1N2QzMTZiMjg5NWMiLCJ1c2VySWQiOiIxNjE2MzgyMDQyIn0=</vt:lpwstr>
  </property>
</Properties>
</file>